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D" w:rsidRPr="006F55DC" w:rsidRDefault="006F55DC">
      <w:pPr>
        <w:rPr>
          <w:b/>
        </w:rPr>
      </w:pPr>
      <w:bookmarkStart w:id="0" w:name="_GoBack"/>
      <w:bookmarkEnd w:id="0"/>
      <w:r w:rsidRPr="006F55DC">
        <w:rPr>
          <w:b/>
        </w:rPr>
        <w:t xml:space="preserve">Université </w:t>
      </w:r>
      <w:proofErr w:type="spellStart"/>
      <w:r w:rsidRPr="006F55DC">
        <w:rPr>
          <w:b/>
        </w:rPr>
        <w:t>HassanII</w:t>
      </w:r>
      <w:proofErr w:type="spellEnd"/>
      <w:r w:rsidRPr="006F55DC">
        <w:rPr>
          <w:b/>
        </w:rPr>
        <w:t xml:space="preserve"> Casablanca </w:t>
      </w:r>
    </w:p>
    <w:p w:rsidR="006F55DC" w:rsidRDefault="006F55DC">
      <w:r w:rsidRPr="006F55DC">
        <w:rPr>
          <w:b/>
        </w:rPr>
        <w:t xml:space="preserve">FSJES AC                    </w:t>
      </w:r>
      <w:r>
        <w:t xml:space="preserve">                                               Module : techniques de banque et de crédit              Semestre VI Gestion Ensembles 1 à 3  </w:t>
      </w:r>
    </w:p>
    <w:p w:rsidR="006F55DC" w:rsidRDefault="006F55DC">
      <w:r>
        <w:t xml:space="preserve">                                                                                  Professeur </w:t>
      </w:r>
      <w:proofErr w:type="spellStart"/>
      <w:r>
        <w:t>A.Salehddine</w:t>
      </w:r>
      <w:proofErr w:type="spellEnd"/>
    </w:p>
    <w:p w:rsidR="006F55DC" w:rsidRDefault="006F55DC">
      <w:r>
        <w:t xml:space="preserve">  QCM </w:t>
      </w:r>
      <w:proofErr w:type="gramStart"/>
      <w:r w:rsidR="00B241B5">
        <w:t>5</w:t>
      </w:r>
      <w:r>
        <w:t xml:space="preserve">  à</w:t>
      </w:r>
      <w:proofErr w:type="gramEnd"/>
      <w:r>
        <w:t xml:space="preserve"> distance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Barème : 2 points /réponse juste 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Retrait de 1 point /fausse réponse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Non réponse aucun point </w:t>
      </w:r>
    </w:p>
    <w:p w:rsidR="006F55DC" w:rsidRDefault="006F55DC" w:rsidP="006F55DC">
      <w:r>
        <w:t xml:space="preserve"> </w:t>
      </w:r>
      <w:r w:rsidRPr="006F55DC">
        <w:rPr>
          <w:highlight w:val="yellow"/>
        </w:rPr>
        <w:t>Durée de réponse : 15 minutes</w:t>
      </w:r>
      <w:r>
        <w:t xml:space="preserve"> </w:t>
      </w:r>
    </w:p>
    <w:p w:rsidR="006F55DC" w:rsidRDefault="006F55DC" w:rsidP="006F5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Vrai             Faux</w:t>
      </w:r>
    </w:p>
    <w:p w:rsidR="006F55DC" w:rsidRDefault="006F55DC" w:rsidP="006F55DC">
      <w:r>
        <w:t xml:space="preserve"> 1- </w:t>
      </w:r>
      <w:r w:rsidR="00402BAE">
        <w:t>L</w:t>
      </w:r>
      <w:r w:rsidR="00B241B5">
        <w:t xml:space="preserve">e crédit spot est un crédit sans objet défini                                                                                                  </w:t>
      </w:r>
      <w:r>
        <w:t xml:space="preserve">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</w:t>
      </w:r>
      <w:r w:rsidR="00B241B5">
        <w:t xml:space="preserve">       </w:t>
      </w:r>
      <w:r>
        <w:t xml:space="preserve"> 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t xml:space="preserve"> </w:t>
      </w:r>
    </w:p>
    <w:p w:rsidR="002E037D" w:rsidRDefault="002E037D" w:rsidP="006F55DC">
      <w:r w:rsidRPr="002E037D">
        <w:rPr>
          <w:highlight w:val="green"/>
        </w:rPr>
        <w:t>Le crédit spot est un financement ponctuel   destiné à couvrir une opération nommément désignée</w:t>
      </w:r>
      <w:r>
        <w:t xml:space="preserve"> </w:t>
      </w:r>
      <w:proofErr w:type="gramStart"/>
      <w:r>
        <w:t>( préparation</w:t>
      </w:r>
      <w:proofErr w:type="gramEnd"/>
      <w:r>
        <w:t xml:space="preserve"> de commande etc…)</w:t>
      </w:r>
    </w:p>
    <w:p w:rsidR="006F55DC" w:rsidRDefault="006F55DC" w:rsidP="006F55DC">
      <w:r>
        <w:t xml:space="preserve">2. </w:t>
      </w:r>
      <w:r w:rsidR="0047799D">
        <w:t>l</w:t>
      </w:r>
      <w:r w:rsidR="00B241B5">
        <w:t xml:space="preserve">a facilité de caisse convient à une activité </w:t>
      </w:r>
      <w:r w:rsidR="00E61B99">
        <w:t xml:space="preserve">                                    </w:t>
      </w:r>
      <w:r w:rsidR="0047799D">
        <w:t xml:space="preserve"> </w:t>
      </w:r>
      <w:r w:rsidR="00402BAE">
        <w:t xml:space="preserve"> </w:t>
      </w:r>
      <w:r w:rsidR="0047799D">
        <w:t xml:space="preserve">                    </w:t>
      </w:r>
      <w:r>
        <w:t xml:space="preserve"> </w:t>
      </w:r>
      <w:r w:rsidR="00E61B99">
        <w:t xml:space="preserve">                        </w:t>
      </w:r>
      <w:r>
        <w:t xml:space="preserve">                                             </w:t>
      </w:r>
      <w:r w:rsidR="00B241B5">
        <w:t xml:space="preserve">         </w:t>
      </w:r>
      <w:r>
        <w:t xml:space="preserve">  </w:t>
      </w:r>
      <w:r w:rsidR="00B241B5">
        <w:t>Commerciale</w:t>
      </w:r>
      <w:r>
        <w:t xml:space="preserve"> </w:t>
      </w:r>
      <w:r w:rsidR="002110B9">
        <w:t xml:space="preserve"> </w:t>
      </w:r>
      <w:r>
        <w:t xml:space="preserve">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t xml:space="preserve"> </w:t>
      </w:r>
      <w:r w:rsidR="00B241B5">
        <w:t xml:space="preserve">   </w:t>
      </w:r>
      <w:r>
        <w:t xml:space="preserve"> </w:t>
      </w:r>
      <w:r w:rsidR="00B241B5">
        <w:t>industrielle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2E037D" w:rsidRDefault="00B92B6B" w:rsidP="006F55DC">
      <w:r w:rsidRPr="00B92B6B">
        <w:rPr>
          <w:highlight w:val="green"/>
        </w:rPr>
        <w:t>C’est une facilité convenant aux activités commerciales ayant un cycle d’exploitation très court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3. </w:t>
      </w:r>
      <w:r w:rsidR="00B241B5">
        <w:t xml:space="preserve">L’intérêt sur le </w:t>
      </w:r>
      <w:r w:rsidR="002110B9">
        <w:t>découvert est</w:t>
      </w:r>
      <w:r w:rsidR="00B241B5">
        <w:t xml:space="preserve"> </w:t>
      </w:r>
      <w:proofErr w:type="gramStart"/>
      <w:r w:rsidR="00B241B5">
        <w:t>calculé  sur</w:t>
      </w:r>
      <w:proofErr w:type="gramEnd"/>
      <w:r w:rsidR="00B241B5">
        <w:t xml:space="preserve"> le montant </w:t>
      </w:r>
      <w:r w:rsidR="002110B9">
        <w:t xml:space="preserve">de </w:t>
      </w:r>
      <w:r w:rsidR="00B241B5">
        <w:t xml:space="preserve"> la ligne plutôt que sur  la fraction réellement utilisée par le client </w:t>
      </w:r>
      <w:r>
        <w:t xml:space="preserve">  </w:t>
      </w:r>
      <w:r w:rsidR="002F6DA9">
        <w:t xml:space="preserve">    </w:t>
      </w:r>
      <w:r>
        <w:t xml:space="preserve">                </w:t>
      </w:r>
      <w:r w:rsidR="002110B9">
        <w:t xml:space="preserve"> </w:t>
      </w:r>
      <w:r>
        <w:t xml:space="preserve"> </w:t>
      </w:r>
      <w:r>
        <w:rPr>
          <w:rFonts w:ascii="Segoe UI Symbol" w:hAnsi="Segoe UI Symbol" w:cs="Segoe UI Symbol"/>
        </w:rPr>
        <w:t xml:space="preserve">❑         </w:t>
      </w:r>
      <w:r w:rsidR="00B241B5">
        <w:rPr>
          <w:rFonts w:ascii="Segoe UI Symbol" w:hAnsi="Segoe UI Symbol" w:cs="Segoe UI Symbol"/>
        </w:rPr>
        <w:t xml:space="preserve">   </w:t>
      </w:r>
      <w:r>
        <w:rPr>
          <w:rFonts w:ascii="Segoe UI Symbol" w:hAnsi="Segoe UI Symbol" w:cs="Segoe UI Symbol"/>
        </w:rPr>
        <w:t xml:space="preserve"> </w:t>
      </w:r>
      <w:r w:rsidR="002110B9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 xml:space="preserve">     </w:t>
      </w:r>
      <w:r>
        <w:t xml:space="preserve"> </w:t>
      </w:r>
      <w:r w:rsidRPr="002E037D">
        <w:rPr>
          <w:rFonts w:ascii="Segoe UI Symbol" w:hAnsi="Segoe UI Symbol" w:cs="Segoe UI Symbol"/>
          <w:highlight w:val="yellow"/>
        </w:rPr>
        <w:t>❑</w:t>
      </w:r>
    </w:p>
    <w:p w:rsidR="00B92B6B" w:rsidRDefault="00B92B6B" w:rsidP="006F55D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Au </w:t>
      </w:r>
      <w:proofErr w:type="gramStart"/>
      <w:r>
        <w:rPr>
          <w:rFonts w:ascii="Segoe UI Symbol" w:hAnsi="Segoe UI Symbol" w:cs="Segoe UI Symbol"/>
        </w:rPr>
        <w:t>Maroc ,</w:t>
      </w:r>
      <w:proofErr w:type="gramEnd"/>
      <w:r>
        <w:rPr>
          <w:rFonts w:ascii="Segoe UI Symbol" w:hAnsi="Segoe UI Symbol" w:cs="Segoe UI Symbol"/>
        </w:rPr>
        <w:t xml:space="preserve"> à l’instar de la France   les intérêts sont chargés sur les utilisations de crédit uniquement , contrairement  au système anglo-saxon  ou la facturation se fait sur la ligne selon le principe de crédit en compte  ce qui est très pénalisant pour l’entreprise </w:t>
      </w:r>
    </w:p>
    <w:p w:rsidR="006F55DC" w:rsidRDefault="006F55DC" w:rsidP="006F55DC">
      <w:r>
        <w:t xml:space="preserve"> 4. </w:t>
      </w:r>
      <w:r w:rsidR="002110B9">
        <w:t>Le crédit de campagne est un financement des approvisionnements en matières premières</w:t>
      </w:r>
      <w:r w:rsidR="002F6DA9">
        <w:t xml:space="preserve">                                                                  </w:t>
      </w:r>
      <w:r>
        <w:t xml:space="preserve">             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t xml:space="preserve"> </w:t>
      </w:r>
      <w:r w:rsidR="002110B9">
        <w:t xml:space="preserve">   </w:t>
      </w:r>
      <w:r>
        <w:t xml:space="preserve">   </w:t>
      </w:r>
      <w:r w:rsidR="002110B9">
        <w:t xml:space="preserve">  </w:t>
      </w:r>
      <w:r>
        <w:t xml:space="preserve">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B92B6B" w:rsidRDefault="00B92B6B" w:rsidP="006F55DC">
      <w:r w:rsidRPr="00B92B6B">
        <w:rPr>
          <w:highlight w:val="green"/>
        </w:rPr>
        <w:t>Effectivement elle permet de couvrir les dépenses d’approvisionnement de matières premières</w:t>
      </w:r>
      <w:r>
        <w:rPr>
          <w:highlight w:val="green"/>
        </w:rPr>
        <w:t xml:space="preserve"> des activités </w:t>
      </w:r>
      <w:proofErr w:type="spellStart"/>
      <w:r>
        <w:rPr>
          <w:highlight w:val="green"/>
        </w:rPr>
        <w:t>saisionnières</w:t>
      </w:r>
      <w:proofErr w:type="spellEnd"/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5. </w:t>
      </w:r>
      <w:r w:rsidR="002D2A1E">
        <w:t>L</w:t>
      </w:r>
      <w:r w:rsidR="002110B9">
        <w:t>a ligne ASM permet de couvrir la valeur totale du stock marchandises</w:t>
      </w:r>
      <w:r w:rsidR="002F6DA9">
        <w:t xml:space="preserve">                                                                  </w:t>
      </w:r>
      <w:r>
        <w:t xml:space="preserve">                                                  </w:t>
      </w:r>
      <w:r w:rsidR="00AD6F94"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</w:t>
      </w:r>
      <w:r w:rsidR="002110B9">
        <w:t xml:space="preserve">    </w:t>
      </w:r>
      <w:r>
        <w:t xml:space="preserve">           </w:t>
      </w:r>
      <w:r w:rsidRPr="002E037D">
        <w:rPr>
          <w:rFonts w:ascii="Segoe UI Symbol" w:hAnsi="Segoe UI Symbol" w:cs="Segoe UI Symbol"/>
          <w:highlight w:val="yellow"/>
        </w:rPr>
        <w:t>❑</w:t>
      </w:r>
    </w:p>
    <w:p w:rsidR="00B92B6B" w:rsidRDefault="00B92B6B" w:rsidP="006F55DC">
      <w:pPr>
        <w:rPr>
          <w:rFonts w:ascii="Segoe UI Symbol" w:hAnsi="Segoe UI Symbol" w:cs="Segoe UI Symbol"/>
        </w:rPr>
      </w:pPr>
      <w:proofErr w:type="gramStart"/>
      <w:r w:rsidRPr="00B92B6B">
        <w:rPr>
          <w:rFonts w:ascii="Segoe UI Symbol" w:hAnsi="Segoe UI Symbol" w:cs="Segoe UI Symbol"/>
          <w:highlight w:val="green"/>
        </w:rPr>
        <w:t>Non ,</w:t>
      </w:r>
      <w:proofErr w:type="gramEnd"/>
      <w:r w:rsidRPr="00B92B6B">
        <w:rPr>
          <w:rFonts w:ascii="Segoe UI Symbol" w:hAnsi="Segoe UI Symbol" w:cs="Segoe UI Symbol"/>
          <w:highlight w:val="green"/>
        </w:rPr>
        <w:t xml:space="preserve"> par précaution les banques la limitent à 80% de la valeur des stocks et ce , pour tenir compte à la fois des intérêts  qui seraient  </w:t>
      </w:r>
      <w:proofErr w:type="spellStart"/>
      <w:r w:rsidRPr="00B92B6B">
        <w:rPr>
          <w:rFonts w:ascii="Segoe UI Symbol" w:hAnsi="Segoe UI Symbol" w:cs="Segoe UI Symbol"/>
          <w:highlight w:val="green"/>
        </w:rPr>
        <w:t>facturés</w:t>
      </w:r>
      <w:r>
        <w:rPr>
          <w:rFonts w:ascii="Segoe UI Symbol" w:hAnsi="Segoe UI Symbol" w:cs="Segoe UI Symbol"/>
          <w:highlight w:val="green"/>
        </w:rPr>
        <w:t>et</w:t>
      </w:r>
      <w:proofErr w:type="spellEnd"/>
      <w:r>
        <w:rPr>
          <w:rFonts w:ascii="Segoe UI Symbol" w:hAnsi="Segoe UI Symbol" w:cs="Segoe UI Symbol"/>
          <w:highlight w:val="green"/>
        </w:rPr>
        <w:t xml:space="preserve"> qui  </w:t>
      </w:r>
      <w:proofErr w:type="spellStart"/>
      <w:r>
        <w:rPr>
          <w:rFonts w:ascii="Segoe UI Symbol" w:hAnsi="Segoe UI Symbol" w:cs="Segoe UI Symbol"/>
          <w:highlight w:val="green"/>
        </w:rPr>
        <w:t>gonferaient</w:t>
      </w:r>
      <w:proofErr w:type="spellEnd"/>
      <w:r>
        <w:rPr>
          <w:rFonts w:ascii="Segoe UI Symbol" w:hAnsi="Segoe UI Symbol" w:cs="Segoe UI Symbol"/>
          <w:highlight w:val="green"/>
        </w:rPr>
        <w:t xml:space="preserve"> la créance sur le client  </w:t>
      </w:r>
      <w:r w:rsidRPr="00B92B6B">
        <w:rPr>
          <w:rFonts w:ascii="Segoe UI Symbol" w:hAnsi="Segoe UI Symbol" w:cs="Segoe UI Symbol"/>
          <w:highlight w:val="green"/>
        </w:rPr>
        <w:t xml:space="preserve"> et du risque de dépréciation du stock</w:t>
      </w:r>
      <w:r>
        <w:rPr>
          <w:rFonts w:ascii="Segoe UI Symbol" w:hAnsi="Segoe UI Symbol" w:cs="Segoe UI Symbol"/>
        </w:rPr>
        <w:t xml:space="preserve"> </w:t>
      </w:r>
    </w:p>
    <w:p w:rsidR="006F55DC" w:rsidRDefault="006F55DC" w:rsidP="006F55DC">
      <w:r>
        <w:lastRenderedPageBreak/>
        <w:t xml:space="preserve"> 6. L</w:t>
      </w:r>
      <w:r w:rsidR="002D2A1E">
        <w:t>e</w:t>
      </w:r>
      <w:r w:rsidR="002110B9">
        <w:t xml:space="preserve"> factoring </w:t>
      </w:r>
      <w:proofErr w:type="gramStart"/>
      <w:r w:rsidR="002110B9">
        <w:t>permet  d’assurer</w:t>
      </w:r>
      <w:proofErr w:type="gramEnd"/>
      <w:r w:rsidR="002110B9">
        <w:t xml:space="preserve"> au client le remboursement de la totalité de ses créances commerciales factorisées</w:t>
      </w:r>
      <w:r w:rsidR="002F6DA9">
        <w:t xml:space="preserve">         </w:t>
      </w:r>
      <w:r w:rsidR="002D2A1E">
        <w:t xml:space="preserve">            </w:t>
      </w:r>
      <w:r w:rsidR="00AD6F94">
        <w:t xml:space="preserve">                  </w:t>
      </w:r>
      <w:r>
        <w:t xml:space="preserve"> 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t xml:space="preserve">   </w:t>
      </w:r>
      <w:r w:rsidR="002110B9">
        <w:t xml:space="preserve">    </w:t>
      </w:r>
      <w:r>
        <w:t xml:space="preserve">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B92B6B" w:rsidRDefault="00B92B6B" w:rsidP="006F55DC">
      <w:r w:rsidRPr="00B92B6B">
        <w:rPr>
          <w:highlight w:val="green"/>
        </w:rPr>
        <w:t>Effectivement les factures admises à l’escompte bénéficient de la garantie totale contre l’impayé</w:t>
      </w:r>
      <w:r>
        <w:t xml:space="preserve"> </w:t>
      </w:r>
    </w:p>
    <w:p w:rsidR="006F55DC" w:rsidRDefault="006F55DC" w:rsidP="006F55DC">
      <w:r>
        <w:t>7. L</w:t>
      </w:r>
      <w:r w:rsidR="002110B9">
        <w:t xml:space="preserve">es valeur mobilières de </w:t>
      </w:r>
      <w:proofErr w:type="gramStart"/>
      <w:r w:rsidR="002110B9">
        <w:t>placement  peuvent</w:t>
      </w:r>
      <w:proofErr w:type="gramEnd"/>
      <w:r w:rsidR="002110B9">
        <w:t xml:space="preserve"> donner lieu à des dépannages de trésorerie auprès de la banque</w:t>
      </w:r>
      <w:r w:rsidR="00584A9D">
        <w:t xml:space="preserve">                                   </w:t>
      </w:r>
      <w:r>
        <w:t xml:space="preserve"> </w:t>
      </w:r>
      <w:r w:rsidR="002F6DA9">
        <w:t xml:space="preserve">          </w:t>
      </w:r>
      <w:r>
        <w:t xml:space="preserve"> </w:t>
      </w:r>
      <w:r w:rsidR="002D2A1E">
        <w:t xml:space="preserve"> </w:t>
      </w:r>
      <w:r>
        <w:t xml:space="preserve"> 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rPr>
          <w:rFonts w:ascii="Segoe UI Symbol" w:hAnsi="Segoe UI Symbol" w:cs="Segoe UI Symbol"/>
        </w:rPr>
        <w:t xml:space="preserve"> </w:t>
      </w:r>
      <w:r w:rsidR="002110B9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 xml:space="preserve">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B92B6B" w:rsidRDefault="00B92B6B" w:rsidP="006F55DC">
      <w:proofErr w:type="gramStart"/>
      <w:r w:rsidRPr="00B92B6B">
        <w:rPr>
          <w:highlight w:val="green"/>
        </w:rPr>
        <w:t>Absolument ,</w:t>
      </w:r>
      <w:proofErr w:type="gramEnd"/>
      <w:r w:rsidRPr="00B92B6B">
        <w:rPr>
          <w:highlight w:val="green"/>
        </w:rPr>
        <w:t xml:space="preserve"> car les banques les acceptent en nantissement pour la mise en place des facilités de crédit de trésorerie</w:t>
      </w:r>
    </w:p>
    <w:p w:rsidR="006F55DC" w:rsidRDefault="006F55DC" w:rsidP="006F55DC">
      <w:r>
        <w:t>8. L</w:t>
      </w:r>
      <w:r w:rsidR="002F6DA9">
        <w:t>e</w:t>
      </w:r>
      <w:r w:rsidR="0062130F">
        <w:t xml:space="preserve">s PME/TPE bénéficient de l’aval CCG pour l’obtention des crédits de fonctionnement </w:t>
      </w:r>
      <w:r w:rsidR="002F6DA9">
        <w:t xml:space="preserve">        </w:t>
      </w:r>
      <w:r w:rsidR="00584A9D">
        <w:t xml:space="preserve">    </w:t>
      </w:r>
      <w:r w:rsidR="0062130F">
        <w:t xml:space="preserve">                                       </w:t>
      </w:r>
      <w:r w:rsidR="00584A9D">
        <w:t xml:space="preserve">    </w:t>
      </w:r>
      <w:r w:rsidR="002F6DA9">
        <w:t xml:space="preserve">                </w:t>
      </w:r>
      <w:r>
        <w:t xml:space="preserve">                    </w:t>
      </w:r>
      <w:r w:rsidRPr="002E037D">
        <w:rPr>
          <w:rFonts w:ascii="Segoe UI Symbol" w:hAnsi="Segoe UI Symbol" w:cs="Segoe UI Symbol"/>
          <w:highlight w:val="yellow"/>
        </w:rPr>
        <w:t>❑</w:t>
      </w:r>
      <w:r>
        <w:rPr>
          <w:rFonts w:ascii="Segoe UI Symbol" w:hAnsi="Segoe UI Symbol" w:cs="Segoe UI Symbol"/>
        </w:rPr>
        <w:t xml:space="preserve">        </w:t>
      </w:r>
      <w:r w:rsidR="0062130F">
        <w:rPr>
          <w:rFonts w:ascii="Segoe UI Symbol" w:hAnsi="Segoe UI Symbol" w:cs="Segoe UI Symbol"/>
        </w:rPr>
        <w:t xml:space="preserve">  </w:t>
      </w:r>
      <w:r>
        <w:rPr>
          <w:rFonts w:ascii="Segoe UI Symbol" w:hAnsi="Segoe UI Symbol" w:cs="Segoe UI Symbol"/>
        </w:rPr>
        <w:t xml:space="preserve">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B92B6B" w:rsidRDefault="00B92B6B" w:rsidP="006F55DC">
      <w:r w:rsidRPr="00020059">
        <w:rPr>
          <w:highlight w:val="green"/>
        </w:rPr>
        <w:t>Tout à fait la caisse centrale de garantie (organisme public ) conscient de la difficulté qu’éprouvent les petites structures  en matière de financement de leur activité faute de garanties ,  s’est proposée à mettre en place une ligne de garantie des banques qui accepteraient t de les financer   , ce qui a constitué un net soulagement de ces entreprises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9. </w:t>
      </w:r>
      <w:r w:rsidR="0062130F">
        <w:t xml:space="preserve">Le report du paiement des droits de douane est possible grâce   </w:t>
      </w:r>
      <w:proofErr w:type="gramStart"/>
      <w:r w:rsidR="0062130F">
        <w:t xml:space="preserve">à </w:t>
      </w:r>
      <w:r w:rsidR="00584A9D">
        <w:t xml:space="preserve"> </w:t>
      </w:r>
      <w:r w:rsidR="0062130F">
        <w:t>la</w:t>
      </w:r>
      <w:proofErr w:type="gramEnd"/>
      <w:r w:rsidR="0062130F">
        <w:t xml:space="preserve"> ligne :</w:t>
      </w:r>
      <w:r w:rsidR="00584A9D">
        <w:t xml:space="preserve">          </w:t>
      </w:r>
      <w:r w:rsidR="009622FC">
        <w:t xml:space="preserve">       </w:t>
      </w:r>
      <w:r>
        <w:t xml:space="preserve">                                             </w:t>
      </w:r>
      <w:r w:rsidR="0062130F">
        <w:t xml:space="preserve">                                 </w:t>
      </w:r>
      <w:r>
        <w:t xml:space="preserve">    </w:t>
      </w:r>
      <w:r w:rsidR="0062130F">
        <w:t xml:space="preserve"> </w:t>
      </w:r>
      <w:r>
        <w:t xml:space="preserve">   </w:t>
      </w:r>
      <w:r w:rsidR="0062130F">
        <w:t xml:space="preserve">   AT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      </w:t>
      </w:r>
      <w:r w:rsidR="0062130F">
        <w:t>OC</w:t>
      </w:r>
      <w:r>
        <w:t xml:space="preserve">  </w:t>
      </w:r>
      <w:r w:rsidRPr="002E037D">
        <w:rPr>
          <w:rFonts w:ascii="Segoe UI Symbol" w:hAnsi="Segoe UI Symbol" w:cs="Segoe UI Symbol"/>
          <w:highlight w:val="yellow"/>
        </w:rPr>
        <w:t>❑</w:t>
      </w:r>
    </w:p>
    <w:p w:rsidR="00020059" w:rsidRDefault="00020059" w:rsidP="006F55DC">
      <w:pPr>
        <w:rPr>
          <w:rFonts w:ascii="Segoe UI Symbol" w:hAnsi="Segoe UI Symbol" w:cs="Segoe UI Symbol"/>
        </w:rPr>
      </w:pPr>
      <w:r w:rsidRPr="00020059">
        <w:rPr>
          <w:rFonts w:ascii="Segoe UI Symbol" w:hAnsi="Segoe UI Symbol" w:cs="Segoe UI Symbol"/>
          <w:highlight w:val="green"/>
        </w:rPr>
        <w:t xml:space="preserve">Ce report est obtenu grâce à la production d’une obligation </w:t>
      </w:r>
      <w:proofErr w:type="gramStart"/>
      <w:r w:rsidRPr="00020059">
        <w:rPr>
          <w:rFonts w:ascii="Segoe UI Symbol" w:hAnsi="Segoe UI Symbol" w:cs="Segoe UI Symbol"/>
          <w:highlight w:val="green"/>
        </w:rPr>
        <w:t>cautionnée  qui</w:t>
      </w:r>
      <w:proofErr w:type="gramEnd"/>
      <w:r w:rsidRPr="00020059">
        <w:rPr>
          <w:rFonts w:ascii="Segoe UI Symbol" w:hAnsi="Segoe UI Symbol" w:cs="Segoe UI Symbol"/>
          <w:highlight w:val="green"/>
        </w:rPr>
        <w:t xml:space="preserve"> se matérialise par un billet souscrit par le client importateur à ordre de la douane et garanti par la banque  pour une durée qui varie de 60 à 120 jours</w:t>
      </w:r>
      <w:r>
        <w:rPr>
          <w:rFonts w:ascii="Segoe UI Symbol" w:hAnsi="Segoe UI Symbol" w:cs="Segoe UI Symbol"/>
        </w:rP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 10.</w:t>
      </w:r>
      <w:r w:rsidR="00584A9D">
        <w:t xml:space="preserve"> </w:t>
      </w:r>
      <w:r w:rsidR="0062130F">
        <w:t xml:space="preserve">lors de l’émission du crédit documentaire </w:t>
      </w:r>
      <w:r>
        <w:t xml:space="preserve">  </w:t>
      </w:r>
      <w:r w:rsidR="0062130F">
        <w:t xml:space="preserve"> le risque et totalement supporté par la banque </w:t>
      </w:r>
      <w:proofErr w:type="spellStart"/>
      <w:r w:rsidR="0062130F">
        <w:t>notificatrice</w:t>
      </w:r>
      <w:proofErr w:type="spellEnd"/>
      <w:r w:rsidR="0062130F">
        <w:t xml:space="preserve">  </w:t>
      </w:r>
      <w:r>
        <w:t xml:space="preserve">       </w:t>
      </w:r>
      <w:r w:rsidR="008F5A18">
        <w:t xml:space="preserve">                               </w:t>
      </w:r>
      <w:r>
        <w:t xml:space="preserve">                </w:t>
      </w:r>
      <w:r w:rsidR="0062130F">
        <w:t xml:space="preserve">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  </w:t>
      </w:r>
      <w:r w:rsidR="0062130F">
        <w:t xml:space="preserve">    </w:t>
      </w:r>
      <w:r>
        <w:t xml:space="preserve">              </w:t>
      </w:r>
      <w:r w:rsidRPr="002E037D">
        <w:rPr>
          <w:rFonts w:ascii="Segoe UI Symbol" w:hAnsi="Segoe UI Symbol" w:cs="Segoe UI Symbol"/>
          <w:highlight w:val="yellow"/>
        </w:rPr>
        <w:t>❑</w:t>
      </w:r>
      <w:r w:rsidR="0062130F">
        <w:rPr>
          <w:rFonts w:ascii="Segoe UI Symbol" w:hAnsi="Segoe UI Symbol" w:cs="Segoe UI Symbol"/>
        </w:rPr>
        <w:t xml:space="preserve"> </w:t>
      </w:r>
    </w:p>
    <w:p w:rsidR="00020059" w:rsidRDefault="00020059" w:rsidP="006F55DC">
      <w:pPr>
        <w:rPr>
          <w:rFonts w:ascii="Segoe UI Symbol" w:hAnsi="Segoe UI Symbol" w:cs="Segoe UI Symbol"/>
        </w:rPr>
      </w:pPr>
      <w:proofErr w:type="gramStart"/>
      <w:r w:rsidRPr="00020059">
        <w:rPr>
          <w:rFonts w:ascii="Segoe UI Symbol" w:hAnsi="Segoe UI Symbol" w:cs="Segoe UI Symbol"/>
          <w:highlight w:val="green"/>
        </w:rPr>
        <w:t>Non ,</w:t>
      </w:r>
      <w:proofErr w:type="gramEnd"/>
      <w:r w:rsidRPr="00020059">
        <w:rPr>
          <w:rFonts w:ascii="Segoe UI Symbol" w:hAnsi="Segoe UI Symbol" w:cs="Segoe UI Symbol"/>
          <w:highlight w:val="green"/>
        </w:rPr>
        <w:t xml:space="preserve"> le risque est totalement assumé par la banque émettrice (banque de l’acheteur) tandis la banque </w:t>
      </w:r>
      <w:proofErr w:type="spellStart"/>
      <w:r w:rsidRPr="00020059">
        <w:rPr>
          <w:rFonts w:ascii="Segoe UI Symbol" w:hAnsi="Segoe UI Symbol" w:cs="Segoe UI Symbol"/>
          <w:highlight w:val="green"/>
        </w:rPr>
        <w:t>notificatrice</w:t>
      </w:r>
      <w:proofErr w:type="spellEnd"/>
      <w:r w:rsidRPr="00020059">
        <w:rPr>
          <w:rFonts w:ascii="Segoe UI Symbol" w:hAnsi="Segoe UI Symbol" w:cs="Segoe UI Symbol"/>
          <w:highlight w:val="green"/>
        </w:rPr>
        <w:t xml:space="preserve"> se limite à notifier la garantie à l’acheteur</w:t>
      </w:r>
      <w:r>
        <w:rPr>
          <w:rFonts w:ascii="Segoe UI Symbol" w:hAnsi="Segoe UI Symbol" w:cs="Segoe UI Symbol"/>
        </w:rPr>
        <w:t xml:space="preserve"> , </w:t>
      </w:r>
      <w:r w:rsidRPr="00020059">
        <w:rPr>
          <w:rFonts w:ascii="Segoe UI Symbol" w:hAnsi="Segoe UI Symbol" w:cs="Segoe UI Symbol"/>
          <w:highlight w:val="green"/>
        </w:rPr>
        <w:t xml:space="preserve">Toutefois  dans le cas </w:t>
      </w:r>
      <w:proofErr w:type="spellStart"/>
      <w:r w:rsidRPr="00020059">
        <w:rPr>
          <w:rFonts w:ascii="Segoe UI Symbol" w:hAnsi="Segoe UI Symbol" w:cs="Segoe UI Symbol"/>
          <w:highlight w:val="green"/>
        </w:rPr>
        <w:t>ou</w:t>
      </w:r>
      <w:proofErr w:type="spellEnd"/>
      <w:r w:rsidRPr="00020059">
        <w:rPr>
          <w:rFonts w:ascii="Segoe UI Symbol" w:hAnsi="Segoe UI Symbol" w:cs="Segoe UI Symbol"/>
          <w:highlight w:val="green"/>
        </w:rPr>
        <w:t xml:space="preserve"> le </w:t>
      </w:r>
      <w:proofErr w:type="spellStart"/>
      <w:r w:rsidRPr="00020059">
        <w:rPr>
          <w:rFonts w:ascii="Segoe UI Symbol" w:hAnsi="Segoe UI Symbol" w:cs="Segoe UI Symbol"/>
          <w:highlight w:val="green"/>
        </w:rPr>
        <w:t>credoc</w:t>
      </w:r>
      <w:proofErr w:type="spellEnd"/>
      <w:r w:rsidRPr="00020059">
        <w:rPr>
          <w:rFonts w:ascii="Segoe UI Symbol" w:hAnsi="Segoe UI Symbol" w:cs="Segoe UI Symbol"/>
          <w:highlight w:val="green"/>
        </w:rPr>
        <w:t xml:space="preserve"> est irrévocable et confirmé à ce </w:t>
      </w:r>
      <w:proofErr w:type="spellStart"/>
      <w:r w:rsidRPr="00020059">
        <w:rPr>
          <w:rFonts w:ascii="Segoe UI Symbol" w:hAnsi="Segoe UI Symbol" w:cs="Segoe UI Symbol"/>
          <w:highlight w:val="green"/>
        </w:rPr>
        <w:t>moment là</w:t>
      </w:r>
      <w:proofErr w:type="spellEnd"/>
      <w:r w:rsidRPr="00020059">
        <w:rPr>
          <w:rFonts w:ascii="Segoe UI Symbol" w:hAnsi="Segoe UI Symbol" w:cs="Segoe UI Symbol"/>
          <w:highlight w:val="green"/>
        </w:rPr>
        <w:t xml:space="preserve"> la garantie est solidairement assurée par la banque émettrice et la banque confirmatrice</w:t>
      </w:r>
      <w:r>
        <w:rPr>
          <w:rFonts w:ascii="Segoe UI Symbol" w:hAnsi="Segoe UI Symbol" w:cs="Segoe UI Symbol"/>
        </w:rPr>
        <w:t xml:space="preserve"> </w:t>
      </w:r>
    </w:p>
    <w:sectPr w:rsidR="00020059" w:rsidSect="006F5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C"/>
    <w:rsid w:val="00020059"/>
    <w:rsid w:val="002110B9"/>
    <w:rsid w:val="002C6552"/>
    <w:rsid w:val="002D2A1E"/>
    <w:rsid w:val="002E037D"/>
    <w:rsid w:val="002F6DA9"/>
    <w:rsid w:val="00402BAE"/>
    <w:rsid w:val="0047799D"/>
    <w:rsid w:val="00584A9D"/>
    <w:rsid w:val="0062130F"/>
    <w:rsid w:val="006F55DC"/>
    <w:rsid w:val="008F5A18"/>
    <w:rsid w:val="009622FC"/>
    <w:rsid w:val="00AD6F94"/>
    <w:rsid w:val="00B241B5"/>
    <w:rsid w:val="00B92B6B"/>
    <w:rsid w:val="00C701E8"/>
    <w:rsid w:val="00E61B99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5E67-6F16-4E27-A811-47738AA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2020-04-18T11:15:00Z</dcterms:created>
  <dcterms:modified xsi:type="dcterms:W3CDTF">2020-04-18T11:15:00Z</dcterms:modified>
</cp:coreProperties>
</file>